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Relationship Id="rId5" Type="http://schemas.microsoft.com/office/2020/02/relationships/classificationlabels" Target="docMetadata/LabelInfo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629363BA" w:rsidP="3994352B" w:rsidRDefault="629363BA" w14:paraId="53EC9299" w14:textId="3ACD0021">
      <w:pPr>
        <w:pStyle w:val="Heading1"/>
      </w:pPr>
      <w:r w:rsidR="629363BA">
        <w:rPr/>
        <w:t>IT Audit Kook8</w:t>
      </w:r>
    </w:p>
    <w:p w:rsidR="629363BA" w:rsidP="3994352B" w:rsidRDefault="629363BA" w14:paraId="60E12DF1" w14:textId="11749AF7">
      <w:pPr>
        <w:pStyle w:val="Heading2"/>
      </w:pPr>
      <w:r w:rsidR="629363BA">
        <w:rPr/>
        <w:t xml:space="preserve">General </w:t>
      </w:r>
      <w:r w:rsidR="629363BA">
        <w:rPr/>
        <w:t>Observations</w:t>
      </w:r>
    </w:p>
    <w:p w:rsidR="629363BA" w:rsidP="3994352B" w:rsidRDefault="629363BA" w14:paraId="50EB0A9D" w14:textId="147C5C1C">
      <w:pPr>
        <w:pStyle w:val="ListParagraph"/>
        <w:numPr>
          <w:ilvl w:val="0"/>
          <w:numId w:val="17"/>
        </w:numPr>
        <w:shd w:val="clear" w:color="auto" w:fill="FAFAFA"/>
        <w:spacing w:before="90" w:beforeAutospacing="off" w:after="150" w:afterAutospacing="off"/>
        <w:rPr/>
      </w:pP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The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documentation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of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the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ISMS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is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well-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structured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, but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some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documents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are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outdated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(last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updated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in 2021).</w:t>
      </w:r>
    </w:p>
    <w:p w:rsidR="629363BA" w:rsidP="3994352B" w:rsidRDefault="629363BA" w14:paraId="4987AA74" w14:textId="7EAA1C39">
      <w:pPr>
        <w:pStyle w:val="ListParagraph"/>
        <w:numPr>
          <w:ilvl w:val="0"/>
          <w:numId w:val="17"/>
        </w:numPr>
        <w:shd w:val="clear" w:color="auto" w:fill="FAFAFA"/>
        <w:spacing w:before="90" w:beforeAutospacing="off" w:after="150" w:afterAutospacing="off"/>
        <w:rPr/>
      </w:pP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There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are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clear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responsibilities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within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the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IT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department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, but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no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written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escalation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strategy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.</w:t>
      </w:r>
    </w:p>
    <w:p w:rsidR="629363BA" w:rsidP="3994352B" w:rsidRDefault="629363BA" w14:paraId="546673ED" w14:textId="224E1DCD">
      <w:pPr>
        <w:pStyle w:val="ListParagraph"/>
        <w:numPr>
          <w:ilvl w:val="0"/>
          <w:numId w:val="17"/>
        </w:numPr>
        <w:shd w:val="clear" w:color="auto" w:fill="FAFAFA"/>
        <w:spacing w:before="90" w:beforeAutospacing="off" w:after="150" w:afterAutospacing="off"/>
        <w:rPr/>
      </w:pP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Employees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show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a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basic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understanding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of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data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protection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policies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, but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two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departments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were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not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included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in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the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training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list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.</w:t>
      </w:r>
    </w:p>
    <w:p w:rsidR="629363BA" w:rsidP="3994352B" w:rsidRDefault="629363BA" w14:paraId="4C0BB657" w14:textId="35092641">
      <w:pPr>
        <w:pStyle w:val="Heading2"/>
      </w:pPr>
      <w:r w:rsidR="629363BA">
        <w:rPr/>
        <w:t xml:space="preserve">ISO 27001 </w:t>
      </w:r>
      <w:r w:rsidR="629363BA">
        <w:rPr/>
        <w:t>Specific</w:t>
      </w:r>
      <w:r w:rsidR="629363BA">
        <w:rPr/>
        <w:t xml:space="preserve"> </w:t>
      </w:r>
      <w:r w:rsidR="629363BA">
        <w:rPr/>
        <w:t>Observations</w:t>
      </w:r>
    </w:p>
    <w:p w:rsidR="629363BA" w:rsidP="3994352B" w:rsidRDefault="629363BA" w14:paraId="06075CB9" w14:textId="7F3814F0">
      <w:pPr>
        <w:shd w:val="clear" w:color="auto" w:fill="FAFAFA"/>
        <w:spacing w:before="90" w:beforeAutospacing="off" w:after="150" w:afterAutospacing="off"/>
      </w:pP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A.10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Cryptographic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Controls:</w:t>
      </w:r>
    </w:p>
    <w:p w:rsidR="629363BA" w:rsidP="3994352B" w:rsidRDefault="629363BA" w14:paraId="46832D9F" w14:textId="6C9C0184">
      <w:pPr>
        <w:pStyle w:val="ListParagraph"/>
        <w:numPr>
          <w:ilvl w:val="0"/>
          <w:numId w:val="6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</w:pP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It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was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found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that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full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encryption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is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not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used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on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mobile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devices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.</w:t>
      </w:r>
    </w:p>
    <w:p w:rsidR="629363BA" w:rsidP="3994352B" w:rsidRDefault="629363BA" w14:paraId="7EBA1CE9" w14:textId="7F9CD867">
      <w:pPr>
        <w:pStyle w:val="ListParagraph"/>
        <w:numPr>
          <w:ilvl w:val="0"/>
          <w:numId w:val="6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</w:pP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A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secure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key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exchange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procedure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is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implemented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but not fully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documented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.</w:t>
      </w:r>
    </w:p>
    <w:p w:rsidR="629363BA" w:rsidP="3994352B" w:rsidRDefault="629363BA" w14:paraId="4C07440A" w14:textId="139B7D42">
      <w:pPr>
        <w:shd w:val="clear" w:color="auto" w:fill="FAFAFA"/>
        <w:spacing w:before="90" w:beforeAutospacing="off" w:after="150" w:afterAutospacing="off"/>
      </w:pP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A.12 Operational Security:</w:t>
      </w:r>
    </w:p>
    <w:p w:rsidR="629363BA" w:rsidP="3994352B" w:rsidRDefault="629363BA" w14:paraId="2B4152BC" w14:textId="10367B21">
      <w:pPr>
        <w:pStyle w:val="ListParagraph"/>
        <w:numPr>
          <w:ilvl w:val="0"/>
          <w:numId w:val="7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</w:pP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Server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software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on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critical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systems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is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partially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outdated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(e.g., Windows Server 2012).</w:t>
      </w:r>
    </w:p>
    <w:p w:rsidR="629363BA" w:rsidP="3994352B" w:rsidRDefault="629363BA" w14:paraId="4FC2889C" w14:textId="585E408D">
      <w:pPr>
        <w:pStyle w:val="ListParagraph"/>
        <w:numPr>
          <w:ilvl w:val="0"/>
          <w:numId w:val="7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</w:pP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Regular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backups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are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performed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, but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there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are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no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disaster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recovery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tests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.</w:t>
      </w:r>
    </w:p>
    <w:p w:rsidR="629363BA" w:rsidP="3994352B" w:rsidRDefault="629363BA" w14:paraId="7C02EFAB" w14:textId="0C6A6601">
      <w:pPr>
        <w:shd w:val="clear" w:color="auto" w:fill="FAFAFA"/>
        <w:spacing w:before="90" w:beforeAutospacing="off" w:after="150" w:afterAutospacing="off"/>
      </w:pP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A.13 Communication and Security:</w:t>
      </w:r>
    </w:p>
    <w:p w:rsidR="629363BA" w:rsidP="3994352B" w:rsidRDefault="629363BA" w14:paraId="62F5CE0A" w14:textId="7E98DF05">
      <w:pPr>
        <w:pStyle w:val="ListParagraph"/>
        <w:numPr>
          <w:ilvl w:val="0"/>
          <w:numId w:val="8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</w:pP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Firewall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rules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have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not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been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reviewed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for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6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months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.</w:t>
      </w:r>
    </w:p>
    <w:p w:rsidR="629363BA" w:rsidP="3994352B" w:rsidRDefault="629363BA" w14:paraId="3475056C" w14:textId="695D779D">
      <w:pPr>
        <w:pStyle w:val="ListParagraph"/>
        <w:numPr>
          <w:ilvl w:val="0"/>
          <w:numId w:val="8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</w:pP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There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are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no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logs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for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external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connections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.</w:t>
      </w:r>
    </w:p>
    <w:p w:rsidR="629363BA" w:rsidP="3994352B" w:rsidRDefault="629363BA" w14:paraId="207E6F36" w14:textId="3A44E287">
      <w:pPr>
        <w:pStyle w:val="Heading2"/>
      </w:pPr>
      <w:r w:rsidR="629363BA">
        <w:rPr/>
        <w:t xml:space="preserve">GDPR </w:t>
      </w:r>
      <w:r w:rsidR="629363BA">
        <w:rPr/>
        <w:t>Specific</w:t>
      </w:r>
      <w:r w:rsidR="629363BA">
        <w:rPr/>
        <w:t xml:space="preserve"> </w:t>
      </w:r>
      <w:r w:rsidR="629363BA">
        <w:rPr/>
        <w:t>Observations</w:t>
      </w:r>
    </w:p>
    <w:p w:rsidR="629363BA" w:rsidP="3994352B" w:rsidRDefault="629363BA" w14:paraId="16737E58" w14:textId="11B44A26">
      <w:pPr>
        <w:shd w:val="clear" w:color="auto" w:fill="FAFAFA"/>
        <w:spacing w:before="90" w:beforeAutospacing="off" w:after="150" w:afterAutospacing="off"/>
      </w:pP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Article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5: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Principles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of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Processing Personal Data:</w:t>
      </w:r>
    </w:p>
    <w:p w:rsidR="629363BA" w:rsidP="3994352B" w:rsidRDefault="629363BA" w14:paraId="3B15F3C6" w14:textId="0A8E7E66">
      <w:pPr>
        <w:pStyle w:val="ListParagraph"/>
        <w:numPr>
          <w:ilvl w:val="0"/>
          <w:numId w:val="9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</w:pP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Data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processing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agreements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with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two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external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service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providers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are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incomplete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.</w:t>
      </w:r>
    </w:p>
    <w:p w:rsidR="629363BA" w:rsidP="3994352B" w:rsidRDefault="629363BA" w14:paraId="757721AD" w14:textId="43B07CA5">
      <w:pPr>
        <w:pStyle w:val="ListParagraph"/>
        <w:numPr>
          <w:ilvl w:val="0"/>
          <w:numId w:val="9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</w:pP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Old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data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(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before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2018)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is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not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regularly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checked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for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deletion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.</w:t>
      </w:r>
    </w:p>
    <w:p w:rsidR="629363BA" w:rsidP="3994352B" w:rsidRDefault="629363BA" w14:paraId="16937A5B" w14:textId="26B88129">
      <w:pPr>
        <w:shd w:val="clear" w:color="auto" w:fill="FAFAFA"/>
        <w:spacing w:before="90" w:beforeAutospacing="off" w:after="150" w:afterAutospacing="off"/>
      </w:pP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Article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25: Data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Protection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by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Design and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by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Default:</w:t>
      </w:r>
    </w:p>
    <w:p w:rsidR="629363BA" w:rsidP="3994352B" w:rsidRDefault="629363BA" w14:paraId="4F5C37EF" w14:textId="0D263152">
      <w:pPr>
        <w:pStyle w:val="ListParagraph"/>
        <w:numPr>
          <w:ilvl w:val="0"/>
          <w:numId w:val="10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</w:pP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Data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protection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impact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assessments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have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not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been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conducted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for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new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projects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since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2023.</w:t>
      </w:r>
    </w:p>
    <w:p w:rsidR="629363BA" w:rsidP="3994352B" w:rsidRDefault="629363BA" w14:paraId="74F5343D" w14:textId="347BFAF4">
      <w:pPr>
        <w:pStyle w:val="ListParagraph"/>
        <w:numPr>
          <w:ilvl w:val="0"/>
          <w:numId w:val="10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</w:pP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There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is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no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process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for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regularly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reviewing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compliance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with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the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"Privacy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by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Design"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approach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.</w:t>
      </w:r>
    </w:p>
    <w:p w:rsidR="629363BA" w:rsidP="3994352B" w:rsidRDefault="629363BA" w14:paraId="46642F0A" w14:textId="32860D9B">
      <w:pPr>
        <w:shd w:val="clear" w:color="auto" w:fill="FAFAFA"/>
        <w:spacing w:before="90" w:beforeAutospacing="off" w:after="150" w:afterAutospacing="off"/>
      </w:pP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Article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32: Security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of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Processing:</w:t>
      </w:r>
    </w:p>
    <w:p w:rsidR="629363BA" w:rsidP="3994352B" w:rsidRDefault="629363BA" w14:paraId="4F8A797B" w14:textId="59A43CBB">
      <w:pPr>
        <w:pStyle w:val="ListParagraph"/>
        <w:numPr>
          <w:ilvl w:val="0"/>
          <w:numId w:val="11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</w:pP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There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is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no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two-factor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authentication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for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remote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access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to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sensitive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systems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.</w:t>
      </w:r>
    </w:p>
    <w:p w:rsidR="629363BA" w:rsidP="3994352B" w:rsidRDefault="629363BA" w14:paraId="7D2298A3" w14:textId="1C6BD72F">
      <w:pPr>
        <w:pStyle w:val="ListParagraph"/>
        <w:numPr>
          <w:ilvl w:val="0"/>
          <w:numId w:val="11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</w:pP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Access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to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personal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data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is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not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sufficiently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logged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.</w:t>
      </w:r>
    </w:p>
    <w:p w:rsidR="629363BA" w:rsidP="3994352B" w:rsidRDefault="629363BA" w14:paraId="64FC6544" w14:textId="7BE8845B">
      <w:pPr>
        <w:pStyle w:val="Heading2"/>
      </w:pPr>
      <w:r w:rsidR="629363BA">
        <w:rPr/>
        <w:t>Risks</w:t>
      </w:r>
      <w:r w:rsidR="629363BA">
        <w:rPr/>
        <w:t xml:space="preserve"> </w:t>
      </w:r>
      <w:r w:rsidR="629363BA">
        <w:rPr/>
        <w:t>Identified</w:t>
      </w:r>
      <w:r w:rsidR="629363BA">
        <w:rPr/>
        <w:t xml:space="preserve"> On-Site</w:t>
      </w:r>
    </w:p>
    <w:p w:rsidR="629363BA" w:rsidP="3994352B" w:rsidRDefault="629363BA" w14:paraId="4A745BE4" w14:textId="40529ABD">
      <w:pPr>
        <w:shd w:val="clear" w:color="auto" w:fill="FAFAFA"/>
        <w:spacing w:before="90" w:beforeAutospacing="off" w:after="150" w:afterAutospacing="off"/>
      </w:pP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High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Risks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:</w:t>
      </w:r>
    </w:p>
    <w:p w:rsidR="629363BA" w:rsidP="3994352B" w:rsidRDefault="629363BA" w14:paraId="70F83BB8" w14:textId="3A2BEEE0">
      <w:pPr>
        <w:pStyle w:val="ListParagraph"/>
        <w:numPr>
          <w:ilvl w:val="0"/>
          <w:numId w:val="12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</w:pP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Employees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use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private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devices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for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work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without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central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management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.</w:t>
      </w:r>
    </w:p>
    <w:p w:rsidR="629363BA" w:rsidP="3994352B" w:rsidRDefault="629363BA" w14:paraId="2E44A5EA" w14:textId="3EF84013">
      <w:pPr>
        <w:pStyle w:val="ListParagraph"/>
        <w:numPr>
          <w:ilvl w:val="0"/>
          <w:numId w:val="12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</w:pP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Critical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systems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lack a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contingency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plan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for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failure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.</w:t>
      </w:r>
    </w:p>
    <w:p w:rsidR="629363BA" w:rsidP="3994352B" w:rsidRDefault="629363BA" w14:paraId="783F1919" w14:textId="0F13E129">
      <w:pPr>
        <w:shd w:val="clear" w:color="auto" w:fill="FAFAFA"/>
        <w:spacing w:before="90" w:beforeAutospacing="off" w:after="150" w:afterAutospacing="off"/>
      </w:pP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Medium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Risks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:</w:t>
      </w:r>
    </w:p>
    <w:p w:rsidR="629363BA" w:rsidP="3994352B" w:rsidRDefault="629363BA" w14:paraId="3132664E" w14:textId="472DE83D">
      <w:pPr>
        <w:pStyle w:val="ListParagraph"/>
        <w:numPr>
          <w:ilvl w:val="0"/>
          <w:numId w:val="13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</w:pP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Backup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process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documented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, but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recovery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not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tested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.</w:t>
      </w:r>
    </w:p>
    <w:p w:rsidR="629363BA" w:rsidP="3994352B" w:rsidRDefault="629363BA" w14:paraId="6E81BF21" w14:textId="3EE38209">
      <w:pPr>
        <w:pStyle w:val="ListParagraph"/>
        <w:numPr>
          <w:ilvl w:val="0"/>
          <w:numId w:val="13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</w:pP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Data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protection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training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does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not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cover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all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departments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.</w:t>
      </w:r>
    </w:p>
    <w:p w:rsidR="629363BA" w:rsidP="3994352B" w:rsidRDefault="629363BA" w14:paraId="07BC9B9F" w14:textId="35BE02FB">
      <w:pPr>
        <w:shd w:val="clear" w:color="auto" w:fill="FAFAFA"/>
        <w:spacing w:before="90" w:beforeAutospacing="off" w:after="150" w:afterAutospacing="off"/>
      </w:pP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Low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Risks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:</w:t>
      </w:r>
    </w:p>
    <w:p w:rsidR="629363BA" w:rsidP="3994352B" w:rsidRDefault="629363BA" w14:paraId="0828C14A" w14:textId="46198413">
      <w:pPr>
        <w:pStyle w:val="ListParagraph"/>
        <w:numPr>
          <w:ilvl w:val="0"/>
          <w:numId w:val="14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</w:pP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Outdated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signage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for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security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zones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in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the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server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room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.</w:t>
      </w:r>
    </w:p>
    <w:p w:rsidR="629363BA" w:rsidP="3994352B" w:rsidRDefault="629363BA" w14:paraId="5C461437" w14:textId="40C4D36B">
      <w:pPr>
        <w:pStyle w:val="ListParagraph"/>
        <w:numPr>
          <w:ilvl w:val="0"/>
          <w:numId w:val="14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</w:pP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No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regular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tests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of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access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controls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.</w:t>
      </w:r>
    </w:p>
    <w:p w:rsidR="629363BA" w:rsidP="3994352B" w:rsidRDefault="629363BA" w14:paraId="22C4652E" w14:textId="3F56ECB9">
      <w:pPr>
        <w:pStyle w:val="Heading2"/>
      </w:pPr>
      <w:r w:rsidR="629363BA">
        <w:rPr/>
        <w:t xml:space="preserve">Questions and </w:t>
      </w:r>
      <w:r w:rsidR="629363BA">
        <w:rPr/>
        <w:t>Discussions</w:t>
      </w:r>
      <w:r w:rsidR="629363BA">
        <w:rPr/>
        <w:t xml:space="preserve"> </w:t>
      </w:r>
      <w:r w:rsidR="629363BA">
        <w:rPr/>
        <w:t>with</w:t>
      </w:r>
      <w:r w:rsidR="629363BA">
        <w:rPr/>
        <w:t xml:space="preserve"> </w:t>
      </w:r>
      <w:r w:rsidR="629363BA">
        <w:rPr/>
        <w:t>the</w:t>
      </w:r>
      <w:r w:rsidR="629363BA">
        <w:rPr/>
        <w:t xml:space="preserve"> Team</w:t>
      </w:r>
    </w:p>
    <w:p w:rsidR="629363BA" w:rsidP="3994352B" w:rsidRDefault="629363BA" w14:paraId="13C8CF9B" w14:textId="16058454">
      <w:pPr>
        <w:pStyle w:val="Heading4"/>
      </w:pPr>
      <w:r w:rsidR="629363BA">
        <w:rPr/>
        <w:t>Questions:</w:t>
      </w:r>
    </w:p>
    <w:p w:rsidR="629363BA" w:rsidP="3994352B" w:rsidRDefault="629363BA" w14:paraId="544EAC0E" w14:textId="3DC3A415">
      <w:pPr>
        <w:pStyle w:val="ListParagraph"/>
        <w:numPr>
          <w:ilvl w:val="0"/>
          <w:numId w:val="15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</w:pP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"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What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measures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are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currently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planned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to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implement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encryption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on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mobile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devices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?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"</w:t>
      </w:r>
    </w:p>
    <w:p w:rsidR="629363BA" w:rsidP="3994352B" w:rsidRDefault="629363BA" w14:paraId="331CC17E" w14:textId="2B67A4FC">
      <w:pPr>
        <w:pStyle w:val="ListParagraph"/>
        <w:numPr>
          <w:ilvl w:val="0"/>
          <w:numId w:val="15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</w:pP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"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When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was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the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last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backup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recovery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test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conducted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?"</w:t>
      </w:r>
    </w:p>
    <w:p w:rsidR="629363BA" w:rsidP="3994352B" w:rsidRDefault="629363BA" w14:paraId="7787C6DE" w14:textId="5C999483">
      <w:pPr>
        <w:pStyle w:val="ListParagraph"/>
        <w:numPr>
          <w:ilvl w:val="0"/>
          <w:numId w:val="15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</w:pP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"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Is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there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a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clear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contact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person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for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data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protection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impact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assessments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?"</w:t>
      </w:r>
    </w:p>
    <w:p w:rsidR="629363BA" w:rsidP="3994352B" w:rsidRDefault="629363BA" w14:paraId="6D0A287D" w14:textId="4A93FC0D">
      <w:pPr>
        <w:pStyle w:val="Heading4"/>
      </w:pPr>
      <w:r w:rsidR="629363BA">
        <w:rPr/>
        <w:t>Discussions</w:t>
      </w:r>
      <w:r w:rsidR="629363BA">
        <w:rPr/>
        <w:t>:</w:t>
      </w:r>
    </w:p>
    <w:p w:rsidR="629363BA" w:rsidP="3994352B" w:rsidRDefault="629363BA" w14:paraId="2BEAF1AE" w14:textId="37164DEF">
      <w:pPr>
        <w:pStyle w:val="ListParagraph"/>
        <w:numPr>
          <w:ilvl w:val="0"/>
          <w:numId w:val="16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</w:pP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Possibility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of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introducing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a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central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solution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for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device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management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.</w:t>
      </w:r>
    </w:p>
    <w:p w:rsidR="629363BA" w:rsidP="3994352B" w:rsidRDefault="629363BA" w14:paraId="7FB77E08" w14:textId="42F0B10E">
      <w:pPr>
        <w:pStyle w:val="ListParagraph"/>
        <w:numPr>
          <w:ilvl w:val="0"/>
          <w:numId w:val="16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</w:pP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Establishing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an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emergency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team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for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IT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security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incidents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.</w:t>
      </w:r>
    </w:p>
    <w:p w:rsidR="629363BA" w:rsidP="3994352B" w:rsidRDefault="629363BA" w14:paraId="1BD11490" w14:textId="52261DC5">
      <w:pPr>
        <w:pStyle w:val="ListParagraph"/>
        <w:numPr>
          <w:ilvl w:val="0"/>
          <w:numId w:val="16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</w:pP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Developing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a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regular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audit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plan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for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 xml:space="preserve"> internal 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reviews</w:t>
      </w:r>
      <w:r w:rsidRPr="3994352B" w:rsidR="629363B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color w:val="424242"/>
          <w:sz w:val="24"/>
          <w:szCs w:val="24"/>
        </w:rPr>
        <w:t>.</w:t>
      </w:r>
    </w:p>
    <w:p w:rsidR="3994352B" w:rsidRDefault="3994352B" w14:paraId="3EF9550E" w14:textId="59E544CA"/>
    <w:sectPr w:rsidR="00D35EF2">
      <w:pgSz w:w="11906" w:h="16838" w:orient="portrait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16">
    <w:nsid w:val="530d403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5">
    <w:nsid w:val="4ce25f1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4">
    <w:nsid w:val="31c5b12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1f83a8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3967acf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6179700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7565fab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675456d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294942e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7cf25d2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11f9f95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66f50dc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12D76CC5"/>
    <w:multiLevelType w:val="multilevel"/>
    <w:tmpl w:val="0BA06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24063D78"/>
    <w:multiLevelType w:val="multilevel"/>
    <w:tmpl w:val="E55C7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34141662"/>
    <w:multiLevelType w:val="multilevel"/>
    <w:tmpl w:val="B1FEE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3E992FC7"/>
    <w:multiLevelType w:val="multilevel"/>
    <w:tmpl w:val="2B14E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4A52610C"/>
    <w:multiLevelType w:val="multilevel"/>
    <w:tmpl w:val="83781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1" w16cid:durableId="1637568151">
    <w:abstractNumId w:val="1"/>
  </w:num>
  <w:num w:numId="2" w16cid:durableId="1091389273">
    <w:abstractNumId w:val="4"/>
  </w:num>
  <w:num w:numId="3" w16cid:durableId="1521309051">
    <w:abstractNumId w:val="3"/>
  </w:num>
  <w:num w:numId="4" w16cid:durableId="626663340">
    <w:abstractNumId w:val="0"/>
  </w:num>
  <w:num w:numId="5" w16cid:durableId="8032339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677"/>
    <w:rsid w:val="00001CED"/>
    <w:rsid w:val="00020677"/>
    <w:rsid w:val="009630D1"/>
    <w:rsid w:val="00B36DC6"/>
    <w:rsid w:val="00D35EF2"/>
    <w:rsid w:val="00F51123"/>
    <w:rsid w:val="00F97DBD"/>
    <w:rsid w:val="06F13A43"/>
    <w:rsid w:val="3994352B"/>
    <w:rsid w:val="629363BA"/>
    <w:rsid w:val="7531068C"/>
    <w:rsid w:val="7D87E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3BA35"/>
  <w15:chartTrackingRefBased/>
  <w15:docId w15:val="{90CDB895-0AC1-474B-A1DC-617287BA3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uiPriority w:val="0"/>
    <w:name w:val="Normal"/>
    <w:qFormat/>
    <w:rsid w:val="3994352B"/>
    <w:rPr>
      <w:noProof w:val="0"/>
      <w:lang w:val="en-GB"/>
    </w:rPr>
  </w:style>
  <w:style w:type="paragraph" w:styleId="berschrift3">
    <w:uiPriority w:val="9"/>
    <w:name w:val="heading 3"/>
    <w:basedOn w:val="Standard"/>
    <w:link w:val="berschrift3Zchn"/>
    <w:qFormat/>
    <w:rsid w:val="3994352B"/>
    <w:rPr>
      <w:rFonts w:ascii="Times New Roman" w:hAnsi="Times New Roman" w:eastAsia="Times New Roman" w:cs="Times New Roman"/>
      <w:b w:val="1"/>
      <w:bCs w:val="1"/>
      <w:sz w:val="27"/>
      <w:szCs w:val="27"/>
      <w:lang w:eastAsia="de-DE"/>
    </w:rPr>
    <w:pPr>
      <w:spacing w:beforeAutospacing="on" w:afterAutospacing="on"/>
      <w:outlineLvl w:val="2"/>
    </w:p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character" w:styleId="berschrift3Zchn" w:customStyle="1">
    <w:name w:val="Überschrift 3 Zchn"/>
    <w:basedOn w:val="Absatz-Standardschriftart"/>
    <w:link w:val="berschrift3"/>
    <w:uiPriority w:val="9"/>
    <w:rsid w:val="00020677"/>
    <w:rPr>
      <w:rFonts w:ascii="Times New Roman" w:hAnsi="Times New Roman" w:eastAsia="Times New Roman" w:cs="Times New Roman"/>
      <w:b/>
      <w:bCs/>
      <w:kern w:val="0"/>
      <w:sz w:val="27"/>
      <w:szCs w:val="27"/>
      <w:lang w:eastAsia="de-DE"/>
      <w14:ligatures w14:val="none"/>
    </w:rPr>
  </w:style>
  <w:style w:type="character" w:styleId="Fett">
    <w:name w:val="Strong"/>
    <w:basedOn w:val="Absatz-Standardschriftart"/>
    <w:uiPriority w:val="22"/>
    <w:qFormat/>
    <w:rsid w:val="00020677"/>
    <w:rPr>
      <w:b/>
      <w:bCs/>
    </w:rPr>
  </w:style>
  <w:style w:type="paragraph" w:styleId="StandardWeb">
    <w:uiPriority w:val="99"/>
    <w:name w:val="Normal (Web)"/>
    <w:basedOn w:val="Standard"/>
    <w:semiHidden/>
    <w:unhideWhenUsed/>
    <w:rsid w:val="3994352B"/>
    <w:rPr>
      <w:rFonts w:ascii="Times New Roman" w:hAnsi="Times New Roman" w:eastAsia="Times New Roman" w:cs="Times New Roman"/>
      <w:lang w:eastAsia="de-DE"/>
    </w:rPr>
    <w:pPr>
      <w:spacing w:beforeAutospacing="on" w:afterAutospacing="on"/>
    </w:pPr>
  </w:style>
  <w:style w:type="paragraph" w:styleId="Heading1">
    <w:uiPriority w:val="9"/>
    <w:name w:val="heading 1"/>
    <w:basedOn w:val="Standard"/>
    <w:next w:val="Standard"/>
    <w:qFormat/>
    <w:rsid w:val="3994352B"/>
    <w:rPr>
      <w:rFonts w:ascii="Calibri Light" w:hAnsi="Calibri Light" w:eastAsia="Calibri Light" w:cs="" w:asciiTheme="majorAscii" w:hAnsiTheme="majorAscii" w:eastAsiaTheme="minorAscii" w:cstheme="majorEastAsia"/>
      <w:color w:val="2F5496" w:themeColor="accent1" w:themeTint="FF" w:themeShade="BF"/>
      <w:sz w:val="40"/>
      <w:szCs w:val="40"/>
    </w:rPr>
    <w:pPr>
      <w:keepNext w:val="1"/>
      <w:keepLines w:val="1"/>
      <w:spacing w:before="360" w:after="80"/>
      <w:outlineLvl w:val="0"/>
    </w:pPr>
  </w:style>
  <w:style w:type="paragraph" w:styleId="Heading2">
    <w:uiPriority w:val="9"/>
    <w:name w:val="heading 2"/>
    <w:basedOn w:val="Standard"/>
    <w:next w:val="Standard"/>
    <w:unhideWhenUsed/>
    <w:qFormat/>
    <w:rsid w:val="3994352B"/>
    <w:rPr>
      <w:rFonts w:ascii="Calibri Light" w:hAnsi="Calibri Light" w:eastAsia="Calibri Light" w:cs="" w:asciiTheme="majorAscii" w:hAnsiTheme="majorAscii" w:eastAsiaTheme="minorAscii" w:cstheme="majorEastAsia"/>
      <w:color w:val="2F5496" w:themeColor="accent1" w:themeTint="FF" w:themeShade="BF"/>
      <w:sz w:val="32"/>
      <w:szCs w:val="32"/>
    </w:rPr>
    <w:pPr>
      <w:keepNext w:val="1"/>
      <w:keepLines w:val="1"/>
      <w:spacing w:before="160" w:after="80"/>
      <w:outlineLvl w:val="1"/>
    </w:p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Standard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eading4Char" w:customStyle="1" mc:Ignorable="w14">
    <w:name xmlns:w="http://schemas.openxmlformats.org/wordprocessingml/2006/main" w:val="Heading 4 Char"/>
    <w:basedOn xmlns:w="http://schemas.openxmlformats.org/wordprocessingml/2006/main" w:val="Absatz-Standardschriftart"/>
    <w:link xmlns:w="http://schemas.openxmlformats.org/wordprocessingml/2006/main" w:val="Heading4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i/>
      <w:iCs/>
      <w:color w:val="2E74B5" w:themeColor="accent1" w:themeShade="BF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4" mc:Ignorable="w14">
    <w:name xmlns:w="http://schemas.openxmlformats.org/wordprocessingml/2006/main" w:val="heading 4"/>
    <w:basedOn xmlns:w="http://schemas.openxmlformats.org/wordprocessingml/2006/main" w:val="Standard"/>
    <w:next xmlns:w="http://schemas.openxmlformats.org/wordprocessingml/2006/main" w:val="Standard"/>
    <w:link xmlns:w="http://schemas.openxmlformats.org/wordprocessingml/2006/main" w:val="Heading4Char"/>
    <w:uiPriority xmlns:w="http://schemas.openxmlformats.org/wordprocessingml/2006/main" w:val="9"/>
    <w:unhideWhenUsed xmlns:w="http://schemas.openxmlformats.org/wordprocessingml/2006/main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40" w:after="0"/>
      <w:outlineLvl xmlns:w="http://schemas.openxmlformats.org/wordprocessingml/2006/main" w:val="3"/>
    </w:pPr>
    <w:rPr xmlns:w="http://schemas.openxmlformats.org/wordprocessingml/2006/main">
      <w:rFonts w:asciiTheme="majorHAnsi" w:hAnsiTheme="majorHAnsi" w:eastAsiaTheme="majorEastAsia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6C860610C0194AB1A57D3FDF8FE4E9" ma:contentTypeVersion="21" ma:contentTypeDescription="Create a new document." ma:contentTypeScope="" ma:versionID="1a979a9b1effe8db95f758b5636b8e34">
  <xsd:schema xmlns:xsd="http://www.w3.org/2001/XMLSchema" xmlns:xs="http://www.w3.org/2001/XMLSchema" xmlns:p="http://schemas.microsoft.com/office/2006/metadata/properties" xmlns:ns1="http://schemas.microsoft.com/sharepoint/v3" xmlns:ns2="cc5b22ac-eae2-4443-bf11-decab0288939" xmlns:ns3="a52daf43-0e46-4d63-b47f-7cde26a9a503" xmlns:ns4="230e9df3-be65-4c73-a93b-d1236ebd677e" targetNamespace="http://schemas.microsoft.com/office/2006/metadata/properties" ma:root="true" ma:fieldsID="34bf32e9f55e462f053f31280a12377a" ns1:_="" ns2:_="" ns3:_="" ns4:_="">
    <xsd:import namespace="http://schemas.microsoft.com/sharepoint/v3"/>
    <xsd:import namespace="cc5b22ac-eae2-4443-bf11-decab0288939"/>
    <xsd:import namespace="a52daf43-0e46-4d63-b47f-7cde26a9a503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ObjectDetectorVersions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b22ac-eae2-4443-bf11-decab02889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daf43-0e46-4d63-b47f-7cde26a9a5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c5daf2ab-17cb-466a-8e34-a8e2a0841e75}" ma:internalName="TaxCatchAll" ma:showField="CatchAllData" ma:web="a52daf43-0e46-4d63-b47f-7cde26a9a5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cc5b22ac-eae2-4443-bf11-decab0288939">
      <Terms xmlns="http://schemas.microsoft.com/office/infopath/2007/PartnerControls"/>
    </lcf76f155ced4ddcb4097134ff3c332f>
    <TaxCatchAll xmlns="230e9df3-be65-4c73-a93b-d1236ebd677e" xsi:nil="true"/>
  </documentManagement>
</p:properties>
</file>

<file path=customXml/itemProps1.xml><?xml version="1.0" encoding="utf-8"?>
<ds:datastoreItem xmlns:ds="http://schemas.openxmlformats.org/officeDocument/2006/customXml" ds:itemID="{B5A0F809-90CC-4F46-A1F0-718816B85F58}"/>
</file>

<file path=customXml/itemProps2.xml><?xml version="1.0" encoding="utf-8"?>
<ds:datastoreItem xmlns:ds="http://schemas.openxmlformats.org/officeDocument/2006/customXml" ds:itemID="{19F802E2-45DD-48F8-86DD-D10004DE4544}"/>
</file>

<file path=customXml/itemProps3.xml><?xml version="1.0" encoding="utf-8"?>
<ds:datastoreItem xmlns:ds="http://schemas.openxmlformats.org/officeDocument/2006/customXml" ds:itemID="{B8DE1A0D-FE73-453B-A10A-12A4A5A71704}"/>
</file>

<file path=docMetadata/LabelInfo.xml><?xml version="1.0" encoding="utf-8"?>
<clbl:labelList xmlns:clbl="http://schemas.microsoft.com/office/2020/mipLabelMetadata">
  <clbl:label id="{1a19d03a-48bc-4359-8038-5b5f6d5847c3}" enabled="1" method="Standard" siteId="{72f988bf-86f1-41af-91ab-2d7cd011db47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Senning | keSolutions</dc:creator>
  <cp:keywords/>
  <dc:description/>
  <cp:lastModifiedBy>Benni Birkelbach (VML Germany GmbH)</cp:lastModifiedBy>
  <cp:revision>3</cp:revision>
  <dcterms:created xsi:type="dcterms:W3CDTF">2024-12-18T16:30:00Z</dcterms:created>
  <dcterms:modified xsi:type="dcterms:W3CDTF">2025-02-18T15:09:15Z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0x010100F86C860610C0194AB1A57D3FDF8FE4E9</vt:lpwstr>
  </property>
  <property fmtid="{D5CDD505-2E9C-101B-9397-08002B2CF9AE}" pid="3" name="MediaServiceImageTags">
    <vt:lpwstr/>
  </property>
</Properties>
</file>